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15D1" w14:textId="77777777" w:rsidR="003D72D6" w:rsidRPr="00BE67C7" w:rsidRDefault="003D72D6">
      <w:pPr>
        <w:rPr>
          <w:rFonts w:ascii="Lato" w:hAnsi="Lato"/>
          <w:sz w:val="20"/>
          <w:szCs w:val="20"/>
        </w:rPr>
      </w:pPr>
    </w:p>
    <w:p w14:paraId="6E77FFE7" w14:textId="77777777" w:rsidR="00BE67C7" w:rsidRPr="00BE67C7" w:rsidRDefault="00BE67C7">
      <w:pPr>
        <w:rPr>
          <w:rFonts w:ascii="Lato" w:hAnsi="Lato"/>
          <w:sz w:val="20"/>
          <w:szCs w:val="20"/>
        </w:rPr>
      </w:pPr>
    </w:p>
    <w:p w14:paraId="2FFAC1F7" w14:textId="77777777" w:rsidR="00BE67C7" w:rsidRPr="00BE67C7" w:rsidRDefault="00BE67C7" w:rsidP="00BE67C7">
      <w:pPr>
        <w:rPr>
          <w:rFonts w:ascii="Lato" w:hAnsi="Lato"/>
          <w:sz w:val="20"/>
          <w:szCs w:val="20"/>
        </w:rPr>
      </w:pPr>
      <w:r w:rsidRPr="00BE67C7">
        <w:rPr>
          <w:rFonts w:ascii="Lato" w:hAnsi="Lato"/>
          <w:sz w:val="20"/>
          <w:szCs w:val="20"/>
        </w:rPr>
        <w:t xml:space="preserve">Our Community Care website and the reports available on or linked </w:t>
      </w:r>
      <w:proofErr w:type="gramStart"/>
      <w:r w:rsidRPr="00BE67C7">
        <w:rPr>
          <w:rFonts w:ascii="Lato" w:hAnsi="Lato"/>
          <w:sz w:val="20"/>
          <w:szCs w:val="20"/>
        </w:rPr>
        <w:t>from</w:t>
      </w:r>
      <w:proofErr w:type="gramEnd"/>
      <w:r w:rsidRPr="00BE67C7">
        <w:rPr>
          <w:rFonts w:ascii="Lato" w:hAnsi="Lato"/>
          <w:sz w:val="20"/>
          <w:szCs w:val="20"/>
        </w:rPr>
        <w:t xml:space="preserve"> that website contain statements that are forward-looking statements within the meaning of the federal securities laws. These forward</w:t>
      </w:r>
      <w:proofErr w:type="gramStart"/>
      <w:r w:rsidRPr="00BE67C7">
        <w:rPr>
          <w:rFonts w:ascii="Lato" w:hAnsi="Lato"/>
          <w:sz w:val="20"/>
          <w:szCs w:val="20"/>
        </w:rPr>
        <w:t>- looking</w:t>
      </w:r>
      <w:proofErr w:type="gramEnd"/>
      <w:r w:rsidRPr="00BE67C7">
        <w:rPr>
          <w:rFonts w:ascii="Lato" w:hAnsi="Lato"/>
          <w:sz w:val="20"/>
          <w:szCs w:val="20"/>
        </w:rPr>
        <w:t xml:space="preserve"> statements include, without limitation, our goals and disclosures related to environmental, social and governance (ESG) matters and belonging, such as the percentage of our patients choosing to dialyze at home and our future renewable energy use, carbon emissions and water use. All statements on our Community Care website and related reports, other than statements of historical </w:t>
      </w:r>
      <w:proofErr w:type="gramStart"/>
      <w:r w:rsidRPr="00BE67C7">
        <w:rPr>
          <w:rFonts w:ascii="Lato" w:hAnsi="Lato"/>
          <w:sz w:val="20"/>
          <w:szCs w:val="20"/>
        </w:rPr>
        <w:t>fact</w:t>
      </w:r>
      <w:proofErr w:type="gramEnd"/>
      <w:r w:rsidRPr="00BE67C7">
        <w:rPr>
          <w:rFonts w:ascii="Lato" w:hAnsi="Lato"/>
          <w:sz w:val="20"/>
          <w:szCs w:val="20"/>
        </w:rPr>
        <w:t xml:space="preserve">, are forward- looking statements. Without limiting the foregoing, statements including the words “expect,” “intend,” “will,” “target,” “goal” and similar expressions are intended to identify forward-looking statements. These forward-looking statements are based on DaVita's goals and aspirations as of February 13, 2025, and it may be difficult to achieve many of the Company’s ESG goals during the desired timeframes or at all. DaVita undertakes no obligation to publicly update or revise any forward-looking statements, whether </w:t>
      </w:r>
      <w:proofErr w:type="gramStart"/>
      <w:r w:rsidRPr="00BE67C7">
        <w:rPr>
          <w:rFonts w:ascii="Lato" w:hAnsi="Lato"/>
          <w:sz w:val="20"/>
          <w:szCs w:val="20"/>
        </w:rPr>
        <w:t>as a result of</w:t>
      </w:r>
      <w:proofErr w:type="gramEnd"/>
      <w:r w:rsidRPr="00BE67C7">
        <w:rPr>
          <w:rFonts w:ascii="Lato" w:hAnsi="Lato"/>
          <w:sz w:val="20"/>
          <w:szCs w:val="20"/>
        </w:rPr>
        <w:t xml:space="preserve"> changed circumstances, new information, future events or otherwise, except as may be required by law. Actual future events could differ materially from any forward-looking statements due to numerous factors that involve substantial known and unknown risks and uncertainties. These risks and uncertainties include, among other things: </w:t>
      </w:r>
    </w:p>
    <w:p w14:paraId="41EFF0E7" w14:textId="77777777" w:rsidR="00BE67C7" w:rsidRPr="00BE67C7" w:rsidRDefault="00BE67C7" w:rsidP="00BE67C7">
      <w:pPr>
        <w:pStyle w:val="ListParagraph"/>
        <w:numPr>
          <w:ilvl w:val="0"/>
          <w:numId w:val="1"/>
        </w:numPr>
        <w:rPr>
          <w:rFonts w:ascii="Lato" w:hAnsi="Lato"/>
          <w:sz w:val="20"/>
          <w:szCs w:val="20"/>
        </w:rPr>
      </w:pPr>
      <w:r w:rsidRPr="00BE67C7">
        <w:rPr>
          <w:rFonts w:ascii="Lato" w:hAnsi="Lato"/>
          <w:sz w:val="20"/>
          <w:szCs w:val="20"/>
        </w:rPr>
        <w:t xml:space="preserve">evolving regulatory requirements affecting ESG standards, measurements and reporting </w:t>
      </w:r>
      <w:proofErr w:type="gramStart"/>
      <w:r w:rsidRPr="00BE67C7">
        <w:rPr>
          <w:rFonts w:ascii="Lato" w:hAnsi="Lato"/>
          <w:sz w:val="20"/>
          <w:szCs w:val="20"/>
        </w:rPr>
        <w:t>requirements;</w:t>
      </w:r>
      <w:proofErr w:type="gramEnd"/>
      <w:r w:rsidRPr="00BE67C7">
        <w:rPr>
          <w:rFonts w:ascii="Lato" w:hAnsi="Lato"/>
          <w:sz w:val="20"/>
          <w:szCs w:val="20"/>
        </w:rPr>
        <w:t xml:space="preserve"> </w:t>
      </w:r>
    </w:p>
    <w:p w14:paraId="2CF9B565" w14:textId="77777777" w:rsidR="00BE67C7" w:rsidRPr="00BE67C7" w:rsidRDefault="00BE67C7" w:rsidP="00BE67C7">
      <w:pPr>
        <w:pStyle w:val="ListParagraph"/>
        <w:numPr>
          <w:ilvl w:val="0"/>
          <w:numId w:val="1"/>
        </w:numPr>
        <w:rPr>
          <w:rFonts w:ascii="Lato" w:hAnsi="Lato"/>
          <w:sz w:val="20"/>
          <w:szCs w:val="20"/>
        </w:rPr>
      </w:pPr>
      <w:r w:rsidRPr="00BE67C7">
        <w:rPr>
          <w:rFonts w:ascii="Lato" w:hAnsi="Lato"/>
          <w:sz w:val="20"/>
          <w:szCs w:val="20"/>
        </w:rPr>
        <w:t>external conditions, including those related to general economic, marketplace and global health conditions, including without limitation, the impact of global events and political or governmental volatility; the impact of the domestic political environment and related developments on the current healthcare marketplace, our patients and on our business; the continuing impact of the COVID-19 pandemic on our financial condition and the chronic kidney disease population and our patient population; supply chain challenges and disruptions, including without limitation with respect to certain key services, critical clinical supplies and equipment we obtain from third parties, and including any impacts on our supply chain as a result of natural disasters; the potential impact of new or potential entrants in the dialysis and pre-dialysis marketplace and potential impact of innovative technologies, drugs, or other treatments on our patients and industry; elevated teammate turnover or labor costs; the impact of continued increased competition from dialysis providers and others; and our ability to respond to challenging U.S. and global economic and marketplace conditions, including, among other things, our ability to successfully identify cost saving opportunities;</w:t>
      </w:r>
    </w:p>
    <w:p w14:paraId="02B0B79D" w14:textId="77777777" w:rsidR="00BE67C7" w:rsidRPr="00BE67C7" w:rsidRDefault="00BE67C7" w:rsidP="00BE67C7">
      <w:pPr>
        <w:pStyle w:val="ListParagraph"/>
        <w:numPr>
          <w:ilvl w:val="0"/>
          <w:numId w:val="1"/>
        </w:numPr>
        <w:rPr>
          <w:rFonts w:ascii="Lato" w:hAnsi="Lato"/>
          <w:sz w:val="20"/>
          <w:szCs w:val="20"/>
        </w:rPr>
      </w:pPr>
      <w:r w:rsidRPr="00BE67C7">
        <w:rPr>
          <w:rFonts w:ascii="Lato" w:hAnsi="Lato"/>
          <w:sz w:val="20"/>
          <w:szCs w:val="20"/>
        </w:rPr>
        <w:t xml:space="preserve">our ability to successfully implement our strategies with respect to integrated kidney care and </w:t>
      </w:r>
      <w:proofErr w:type="gramStart"/>
      <w:r w:rsidRPr="00BE67C7">
        <w:rPr>
          <w:rFonts w:ascii="Lato" w:hAnsi="Lato"/>
          <w:sz w:val="20"/>
          <w:szCs w:val="20"/>
        </w:rPr>
        <w:t>value based</w:t>
      </w:r>
      <w:proofErr w:type="gramEnd"/>
      <w:r w:rsidRPr="00BE67C7">
        <w:rPr>
          <w:rFonts w:ascii="Lato" w:hAnsi="Lato"/>
          <w:sz w:val="20"/>
          <w:szCs w:val="20"/>
        </w:rPr>
        <w:t xml:space="preserve"> care initiatives and </w:t>
      </w:r>
      <w:proofErr w:type="gramStart"/>
      <w:r w:rsidRPr="00BE67C7">
        <w:rPr>
          <w:rFonts w:ascii="Lato" w:hAnsi="Lato"/>
          <w:sz w:val="20"/>
          <w:szCs w:val="20"/>
        </w:rPr>
        <w:t>home based</w:t>
      </w:r>
      <w:proofErr w:type="gramEnd"/>
      <w:r w:rsidRPr="00BE67C7">
        <w:rPr>
          <w:rFonts w:ascii="Lato" w:hAnsi="Lato"/>
          <w:sz w:val="20"/>
          <w:szCs w:val="20"/>
        </w:rPr>
        <w:t xml:space="preserve"> dialysis in the desired time frame and in a complex, dynamic and highly regulated </w:t>
      </w:r>
      <w:proofErr w:type="gramStart"/>
      <w:r w:rsidRPr="00BE67C7">
        <w:rPr>
          <w:rFonts w:ascii="Lato" w:hAnsi="Lato"/>
          <w:sz w:val="20"/>
          <w:szCs w:val="20"/>
        </w:rPr>
        <w:t>environment;</w:t>
      </w:r>
      <w:proofErr w:type="gramEnd"/>
      <w:r w:rsidRPr="00BE67C7">
        <w:rPr>
          <w:rFonts w:ascii="Lato" w:hAnsi="Lato"/>
          <w:sz w:val="20"/>
          <w:szCs w:val="20"/>
        </w:rPr>
        <w:t xml:space="preserve"> </w:t>
      </w:r>
    </w:p>
    <w:p w14:paraId="5080C64B" w14:textId="77777777" w:rsidR="00BE67C7" w:rsidRPr="00BE67C7" w:rsidRDefault="00BE67C7" w:rsidP="00BE67C7">
      <w:pPr>
        <w:pStyle w:val="ListParagraph"/>
        <w:numPr>
          <w:ilvl w:val="0"/>
          <w:numId w:val="1"/>
        </w:numPr>
        <w:rPr>
          <w:rFonts w:ascii="Lato" w:hAnsi="Lato"/>
          <w:sz w:val="20"/>
          <w:szCs w:val="20"/>
        </w:rPr>
      </w:pPr>
      <w:r w:rsidRPr="00BE67C7">
        <w:rPr>
          <w:rFonts w:ascii="Lato" w:hAnsi="Lato"/>
          <w:sz w:val="20"/>
          <w:szCs w:val="20"/>
        </w:rPr>
        <w:t>our ability to attract, retain and motivate teammates, including key leadership personnel, and our ability to manage potential disruptions to our business and operations, including potential work stoppages, operating cost increases or productivity decreases whether due to union organizing activities, legislative or other changes, demand for labor, volatility and uncertainty in the labor market, the current challenging and highly competitive labor market conditions, including due to the ongoing nationwide shortage of skilled clinical personnel, or other reasons;</w:t>
      </w:r>
    </w:p>
    <w:p w14:paraId="7744174B" w14:textId="77777777" w:rsidR="00BE67C7" w:rsidRPr="00BE67C7" w:rsidRDefault="00BE67C7" w:rsidP="00BE67C7">
      <w:pPr>
        <w:pStyle w:val="ListParagraph"/>
        <w:numPr>
          <w:ilvl w:val="0"/>
          <w:numId w:val="1"/>
        </w:numPr>
        <w:rPr>
          <w:rFonts w:ascii="Lato" w:hAnsi="Lato"/>
          <w:sz w:val="20"/>
          <w:szCs w:val="20"/>
        </w:rPr>
      </w:pPr>
      <w:r w:rsidRPr="00BE67C7">
        <w:rPr>
          <w:rFonts w:ascii="Lato" w:hAnsi="Lato"/>
          <w:sz w:val="20"/>
          <w:szCs w:val="20"/>
        </w:rPr>
        <w:lastRenderedPageBreak/>
        <w:t xml:space="preserve">legal and compliance risks, such as compliance with complex, and at times, evolving government regulations and requirements, and with additional laws that may apply to our operations as we expand geographically or </w:t>
      </w:r>
      <w:proofErr w:type="gramStart"/>
      <w:r w:rsidRPr="00BE67C7">
        <w:rPr>
          <w:rFonts w:ascii="Lato" w:hAnsi="Lato"/>
          <w:sz w:val="20"/>
          <w:szCs w:val="20"/>
        </w:rPr>
        <w:t>enter into</w:t>
      </w:r>
      <w:proofErr w:type="gramEnd"/>
      <w:r w:rsidRPr="00BE67C7">
        <w:rPr>
          <w:rFonts w:ascii="Lato" w:hAnsi="Lato"/>
          <w:sz w:val="20"/>
          <w:szCs w:val="20"/>
        </w:rPr>
        <w:t xml:space="preserve"> new lines of </w:t>
      </w:r>
      <w:proofErr w:type="gramStart"/>
      <w:r w:rsidRPr="00BE67C7">
        <w:rPr>
          <w:rFonts w:ascii="Lato" w:hAnsi="Lato"/>
          <w:sz w:val="20"/>
          <w:szCs w:val="20"/>
        </w:rPr>
        <w:t>business;</w:t>
      </w:r>
      <w:proofErr w:type="gramEnd"/>
    </w:p>
    <w:p w14:paraId="0A3E863F" w14:textId="77777777" w:rsidR="00BE67C7" w:rsidRPr="00BE67C7" w:rsidRDefault="00BE67C7" w:rsidP="00BE67C7">
      <w:pPr>
        <w:pStyle w:val="ListParagraph"/>
        <w:numPr>
          <w:ilvl w:val="0"/>
          <w:numId w:val="1"/>
        </w:numPr>
        <w:rPr>
          <w:rFonts w:ascii="Lato" w:hAnsi="Lato"/>
          <w:sz w:val="20"/>
          <w:szCs w:val="20"/>
        </w:rPr>
      </w:pPr>
      <w:r w:rsidRPr="00BE67C7">
        <w:rPr>
          <w:rFonts w:ascii="Lato" w:hAnsi="Lato"/>
          <w:sz w:val="20"/>
          <w:szCs w:val="20"/>
        </w:rPr>
        <w:t xml:space="preserve">our ability to develop and maintain relationships with physicians and hospitals, changing affiliation models for physicians, and the emergence of new models of care or other initiatives that, among other things, may erode our patient base and impact reimbursement </w:t>
      </w:r>
      <w:proofErr w:type="gramStart"/>
      <w:r w:rsidRPr="00BE67C7">
        <w:rPr>
          <w:rFonts w:ascii="Lato" w:hAnsi="Lato"/>
          <w:sz w:val="20"/>
          <w:szCs w:val="20"/>
        </w:rPr>
        <w:t>rates;</w:t>
      </w:r>
      <w:proofErr w:type="gramEnd"/>
    </w:p>
    <w:p w14:paraId="1BB0C4E1" w14:textId="77777777" w:rsidR="00BE67C7" w:rsidRPr="00BE67C7" w:rsidRDefault="00BE67C7" w:rsidP="00BE67C7">
      <w:pPr>
        <w:pStyle w:val="ListParagraph"/>
        <w:numPr>
          <w:ilvl w:val="0"/>
          <w:numId w:val="1"/>
        </w:numPr>
        <w:rPr>
          <w:rFonts w:ascii="Lato" w:hAnsi="Lato"/>
          <w:sz w:val="20"/>
          <w:szCs w:val="20"/>
        </w:rPr>
      </w:pPr>
      <w:r w:rsidRPr="00BE67C7">
        <w:rPr>
          <w:rFonts w:ascii="Lato" w:hAnsi="Lato"/>
          <w:sz w:val="20"/>
          <w:szCs w:val="20"/>
        </w:rPr>
        <w:t xml:space="preserve">the effects on us or others of natural or other disasters, public health crises or severe adverse weather events such as hurricanes, earthquakes, fires or </w:t>
      </w:r>
      <w:proofErr w:type="gramStart"/>
      <w:r w:rsidRPr="00BE67C7">
        <w:rPr>
          <w:rFonts w:ascii="Lato" w:hAnsi="Lato"/>
          <w:sz w:val="20"/>
          <w:szCs w:val="20"/>
        </w:rPr>
        <w:t>flooding;</w:t>
      </w:r>
      <w:proofErr w:type="gramEnd"/>
    </w:p>
    <w:p w14:paraId="1D0AA4F3" w14:textId="677DA2BC" w:rsidR="00BE67C7" w:rsidRPr="00BE67C7" w:rsidRDefault="00BE67C7" w:rsidP="00BE67C7">
      <w:pPr>
        <w:pStyle w:val="ListParagraph"/>
        <w:numPr>
          <w:ilvl w:val="0"/>
          <w:numId w:val="1"/>
        </w:numPr>
        <w:rPr>
          <w:rFonts w:ascii="Lato" w:hAnsi="Lato"/>
          <w:sz w:val="20"/>
          <w:szCs w:val="20"/>
        </w:rPr>
      </w:pPr>
      <w:r w:rsidRPr="00BE67C7">
        <w:rPr>
          <w:rFonts w:ascii="Lato" w:hAnsi="Lato"/>
          <w:sz w:val="20"/>
          <w:szCs w:val="20"/>
        </w:rPr>
        <w:t>the other risks factors, trends and uncertainties set forth in DaVita Inc.’s Annual Report on Form 10-K for the year ended December 31, 2024, and the risks and uncertainties discussed in any subsequent reports that DaVita files or furnishes with the Securities and Exchange Commission from time to time.</w:t>
      </w:r>
    </w:p>
    <w:sectPr w:rsidR="00BE67C7" w:rsidRPr="00BE6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A7CE0"/>
    <w:multiLevelType w:val="hybridMultilevel"/>
    <w:tmpl w:val="F82A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61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C7"/>
    <w:rsid w:val="002258FA"/>
    <w:rsid w:val="003D72D6"/>
    <w:rsid w:val="005B37AE"/>
    <w:rsid w:val="00615E88"/>
    <w:rsid w:val="00634CBC"/>
    <w:rsid w:val="00891E20"/>
    <w:rsid w:val="00BE67C7"/>
    <w:rsid w:val="00C21DCF"/>
    <w:rsid w:val="00CB4482"/>
    <w:rsid w:val="00CF2A79"/>
    <w:rsid w:val="00EB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AF8D"/>
  <w15:chartTrackingRefBased/>
  <w15:docId w15:val="{10943E81-FEF8-467D-96B4-E460C965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7C7"/>
    <w:rPr>
      <w:rFonts w:eastAsiaTheme="majorEastAsia" w:cstheme="majorBidi"/>
      <w:color w:val="272727" w:themeColor="text1" w:themeTint="D8"/>
    </w:rPr>
  </w:style>
  <w:style w:type="paragraph" w:styleId="Title">
    <w:name w:val="Title"/>
    <w:basedOn w:val="Normal"/>
    <w:next w:val="Normal"/>
    <w:link w:val="TitleChar"/>
    <w:uiPriority w:val="10"/>
    <w:qFormat/>
    <w:rsid w:val="00BE6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7C7"/>
    <w:pPr>
      <w:spacing w:before="160"/>
      <w:jc w:val="center"/>
    </w:pPr>
    <w:rPr>
      <w:i/>
      <w:iCs/>
      <w:color w:val="404040" w:themeColor="text1" w:themeTint="BF"/>
    </w:rPr>
  </w:style>
  <w:style w:type="character" w:customStyle="1" w:styleId="QuoteChar">
    <w:name w:val="Quote Char"/>
    <w:basedOn w:val="DefaultParagraphFont"/>
    <w:link w:val="Quote"/>
    <w:uiPriority w:val="29"/>
    <w:rsid w:val="00BE67C7"/>
    <w:rPr>
      <w:i/>
      <w:iCs/>
      <w:color w:val="404040" w:themeColor="text1" w:themeTint="BF"/>
    </w:rPr>
  </w:style>
  <w:style w:type="paragraph" w:styleId="ListParagraph">
    <w:name w:val="List Paragraph"/>
    <w:basedOn w:val="Normal"/>
    <w:uiPriority w:val="34"/>
    <w:qFormat/>
    <w:rsid w:val="00BE67C7"/>
    <w:pPr>
      <w:ind w:left="720"/>
      <w:contextualSpacing/>
    </w:pPr>
  </w:style>
  <w:style w:type="character" w:styleId="IntenseEmphasis">
    <w:name w:val="Intense Emphasis"/>
    <w:basedOn w:val="DefaultParagraphFont"/>
    <w:uiPriority w:val="21"/>
    <w:qFormat/>
    <w:rsid w:val="00BE67C7"/>
    <w:rPr>
      <w:i/>
      <w:iCs/>
      <w:color w:val="0F4761" w:themeColor="accent1" w:themeShade="BF"/>
    </w:rPr>
  </w:style>
  <w:style w:type="paragraph" w:styleId="IntenseQuote">
    <w:name w:val="Intense Quote"/>
    <w:basedOn w:val="Normal"/>
    <w:next w:val="Normal"/>
    <w:link w:val="IntenseQuoteChar"/>
    <w:uiPriority w:val="30"/>
    <w:qFormat/>
    <w:rsid w:val="00BE6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7C7"/>
    <w:rPr>
      <w:i/>
      <w:iCs/>
      <w:color w:val="0F4761" w:themeColor="accent1" w:themeShade="BF"/>
    </w:rPr>
  </w:style>
  <w:style w:type="character" w:styleId="IntenseReference">
    <w:name w:val="Intense Reference"/>
    <w:basedOn w:val="DefaultParagraphFont"/>
    <w:uiPriority w:val="32"/>
    <w:qFormat/>
    <w:rsid w:val="00BE67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3954</Characters>
  <Application>Microsoft Office Word</Application>
  <DocSecurity>0</DocSecurity>
  <Lines>32</Lines>
  <Paragraphs>9</Paragraphs>
  <ScaleCrop>false</ScaleCrop>
  <Company>DaVita</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Mountin</dc:creator>
  <cp:keywords/>
  <dc:description/>
  <cp:lastModifiedBy>Rachel Mountin</cp:lastModifiedBy>
  <cp:revision>1</cp:revision>
  <dcterms:created xsi:type="dcterms:W3CDTF">2025-05-01T20:20:00Z</dcterms:created>
  <dcterms:modified xsi:type="dcterms:W3CDTF">2025-05-01T20:22:00Z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eccffe-a5a0-4735-a3a0-dfafb6c0b7e7_Enabled">
    <vt:lpwstr>true</vt:lpwstr>
  </property>
  <property fmtid="{D5CDD505-2E9C-101B-9397-08002B2CF9AE}" pid="3" name="MSIP_Label_82eccffe-a5a0-4735-a3a0-dfafb6c0b7e7_SetDate">
    <vt:lpwstr>2025-05-01T20:22:20Z</vt:lpwstr>
  </property>
  <property fmtid="{D5CDD505-2E9C-101B-9397-08002B2CF9AE}" pid="4" name="MSIP_Label_82eccffe-a5a0-4735-a3a0-dfafb6c0b7e7_Method">
    <vt:lpwstr>Standard</vt:lpwstr>
  </property>
  <property fmtid="{D5CDD505-2E9C-101B-9397-08002B2CF9AE}" pid="5" name="MSIP_Label_82eccffe-a5a0-4735-a3a0-dfafb6c0b7e7_Name">
    <vt:lpwstr>DaVita Confidential</vt:lpwstr>
  </property>
  <property fmtid="{D5CDD505-2E9C-101B-9397-08002B2CF9AE}" pid="6" name="MSIP_Label_82eccffe-a5a0-4735-a3a0-dfafb6c0b7e7_SiteId">
    <vt:lpwstr>d0746369-7df7-4138-87d2-a9b75386157f</vt:lpwstr>
  </property>
  <property fmtid="{D5CDD505-2E9C-101B-9397-08002B2CF9AE}" pid="7" name="MSIP_Label_82eccffe-a5a0-4735-a3a0-dfafb6c0b7e7_ActionId">
    <vt:lpwstr>716b0ed5-a63f-4d16-8262-2fee99f7cfb5</vt:lpwstr>
  </property>
  <property fmtid="{D5CDD505-2E9C-101B-9397-08002B2CF9AE}" pid="8" name="MSIP_Label_82eccffe-a5a0-4735-a3a0-dfafb6c0b7e7_ContentBits">
    <vt:lpwstr>0</vt:lpwstr>
  </property>
  <property fmtid="{D5CDD505-2E9C-101B-9397-08002B2CF9AE}" pid="9" name="MSIP_Label_82eccffe-a5a0-4735-a3a0-dfafb6c0b7e7_Tag">
    <vt:lpwstr>10, 3, 0, 1</vt:lpwstr>
  </property>
</Properties>
</file>